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D3" w:rsidRDefault="001A25D3" w:rsidP="001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679"/>
      </w:tblGrid>
      <w:tr w:rsidR="001A25D3" w:rsidRPr="00410890" w:rsidTr="00EB27E8">
        <w:tc>
          <w:tcPr>
            <w:tcW w:w="4785" w:type="dxa"/>
          </w:tcPr>
          <w:p w:rsidR="001A25D3" w:rsidRPr="003A677C" w:rsidRDefault="001A25D3" w:rsidP="00EB27E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hd w:val="clear" w:color="auto" w:fill="FFFFFF"/>
              </w:rPr>
              <w:drawing>
                <wp:inline distT="0" distB="0" distL="0" distR="0">
                  <wp:extent cx="2184400" cy="901700"/>
                  <wp:effectExtent l="19050" t="0" r="635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</w:tcPr>
          <w:p w:rsidR="001A25D3" w:rsidRDefault="001A25D3" w:rsidP="001A2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выделить земельную долю в земельный участок</w:t>
            </w:r>
          </w:p>
          <w:p w:rsidR="001A25D3" w:rsidRPr="00410890" w:rsidRDefault="001A25D3" w:rsidP="00EB27E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1A25D3" w:rsidRDefault="001A25D3" w:rsidP="001A2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5D3" w:rsidRDefault="001A25D3" w:rsidP="001A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аграрной реформы в 90-х годах прошлого столетия органами местного самоуправления массо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 принимались решения о приватизации сельскохозяйственных земель, в результате которой граждане наделялись правами на земельные доли – доли в праве общей долевой собственности на земельные участки сельскохозяйственного назначения.</w:t>
      </w:r>
    </w:p>
    <w:p w:rsidR="001A25D3" w:rsidRDefault="001A25D3" w:rsidP="001A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на земельные доли удостоверялись свидетельствами о праве собственности на землю, имеющими в настоящее время равную юридическую силу с записями Единого государственного реестра недвижимости. Названными свидетельствами подтверждается наличие у граждан прав общей долевой собственности на земельный участок сельскохозяйственного назначения, владение, пользование и распоряжение которым осуществляются в соответствии с решением участников долевой собственности, принятом на общем собрании данных участников. То есть, вопросы распоряжения общим земельным участком, например, передачи его в аренду сельскохозяйственной организации или КФХ, решаются сособственниками сообща путем проведения общего собрания, которое может проводиться по инициативе любого собственника земельной доли и иных заинтересованных лиц, использующих данный участок, либо по предложению соответствующего органа местного самоуправления. При этом для того, чтобы решение состоялось,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достаточно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 него проголосовало большинство участников общего собрания либо те участники, которые владеют в совокупности более чем 50 процентами долей общего числа долей собственников, присутствующих на общем собрании.</w:t>
      </w:r>
    </w:p>
    <w:p w:rsidR="001A25D3" w:rsidRDefault="001A25D3" w:rsidP="001A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Зачастую гражданин не заинтересован в продолжени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таких коллективных отношений по владению и распоряжению общим земельным участком и принимает решение о выделении своей земельной доли с тем чтобы стать единоличным собственником конкретного земельного участка в установленных границах.</w:t>
      </w:r>
    </w:p>
    <w:p w:rsidR="001A25D3" w:rsidRDefault="001A25D3" w:rsidP="001A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же порядок выделения реального земельного участка в счет земельной доли?</w:t>
      </w:r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 данного вопроса установлено Федеральным законом от 24.07.2002 № 101-ФЗ «Об обороте земель сельскохозяйственного назначения»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акон устанавливает 2 способа выделения собственником своей земельной доли – на основании решения общего собрания участников долевой собственности об утверждении проекта межевания выделяемого земельного участка или путем утверждения проекта межевания самим собственником земельной доли после соблюдения процедур согласования размера и местоположения границ образуемого земельного участка с другими участниками общей долевой собственности.</w:t>
      </w:r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межевания земельного участка подготавливается кадастровым инженером. Заказчиком такого проекта межевания может являться любое лицо.</w:t>
      </w:r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проекта межевания кадастровый инженер обеспечивает правообладателям общего земельного участка, из которого будет выделяться земельный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участокв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счет земельной доли (т.е. исходного участка), возможность ознакомиться с этим проектом до его утверждения и представить предложения о его доработке. Срок ознакомления с проектом межевания земельных участков не может быть менее чем тридцать дней до дня его утверждения.</w:t>
      </w:r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>
        <w:rPr>
          <w:rFonts w:ascii="Times New Roman" w:hAnsi="Times New Roman" w:cs="Times New Roman"/>
          <w:sz w:val="24"/>
          <w:szCs w:val="24"/>
        </w:rPr>
        <w:t xml:space="preserve">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информации, определенных субъектом Российской Федерации. В </w:t>
      </w:r>
      <w:r>
        <w:rPr>
          <w:rFonts w:ascii="Times New Roman" w:hAnsi="Times New Roman" w:cs="Times New Roman"/>
          <w:sz w:val="24"/>
          <w:szCs w:val="24"/>
        </w:rPr>
        <w:lastRenderedPageBreak/>
        <w:t>Курской области таким средством массовой информации является газета «Курская правда».</w:t>
      </w:r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извещение должно содержать сведения:</w:t>
      </w:r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"/>
      <w:bookmarkEnd w:id="2"/>
      <w:r>
        <w:rPr>
          <w:rFonts w:ascii="Times New Roman" w:hAnsi="Times New Roman" w:cs="Times New Roman"/>
          <w:sz w:val="24"/>
          <w:szCs w:val="24"/>
        </w:rPr>
        <w:t>- о заказчике работ по подготовке проекта межевания земельных участков, в том числе почтовый адрес и номер контактного телефона;</w:t>
      </w:r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кадастровом инженере, подготовившем проект межевания земельных участков, в том числе почтовый адрес, адрес электронной почты и номер контактного телефона;</w:t>
      </w:r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номер и адрес исходного земельного участка;</w:t>
      </w:r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"/>
      <w:bookmarkEnd w:id="3"/>
      <w:r>
        <w:rPr>
          <w:rFonts w:ascii="Times New Roman" w:hAnsi="Times New Roman" w:cs="Times New Roman"/>
          <w:sz w:val="24"/>
          <w:szCs w:val="24"/>
        </w:rPr>
        <w:t>- порядок ознакомления с проектом межевания земельных участков, место или адрес, где с этим проектом можно ознакомиться со дня получения или опубликования извещения;</w:t>
      </w:r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 (если проект межевания подлежит утверждению на общем собрании) или </w:t>
      </w:r>
      <w:bookmarkStart w:id="4" w:name="Par8"/>
      <w:bookmarkEnd w:id="4"/>
      <w:r>
        <w:rPr>
          <w:rFonts w:ascii="Times New Roman" w:hAnsi="Times New Roman" w:cs="Times New Roman"/>
          <w:sz w:val="24"/>
          <w:szCs w:val="24"/>
        </w:rPr>
        <w:t>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земельного участка (если проект межевания подлежит утверждению собственником земельной доли).</w:t>
      </w:r>
      <w:proofErr w:type="gramEnd"/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в течение 30 дней со дня надлежащего извещения участников долевой собственности о согласовании проекта межевания от них не поступят возражения относительно размера и местоположения границ выделяемого земельного участка, проект межевания считается согласованным.</w:t>
      </w:r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указанных возражений такие возражения должны содержать фамилию, имя и отчество лица, выдвинувшего эти возражения, реквизиты документа, удостоверяющего его личность, обоснование причин его несогласия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размером и местоположением границ выделяемого земельного участка, кадастровый номер исходного земельного участка. К этим возражениям должны быть приложены копии документов, подтверждающих право лица, выдвинувшего эти возражения, на земельную долю в исходном земельном участке. Указанные возражения направляются кадастровому инженеру, подготовившему соответствующий проект межевания земельного участка, а также в орган регистрации прав по месту расположения такого земельного участка. Законом отдельно установлено, что споры о размере и местоположении границ выделяемого земельного участка рассматриваются в суде.</w:t>
      </w:r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того чтобы стать собственником земельного участка, выделенного в счет земельной доли, необходимо подать в установленном порядке заявление и необходимые документы для проведения государственного кадастрового учета данного участка и государственной регистрации права на него (в том числе проект межевания, а также соглашение об образовании общей долевой собственности если участок выделяется несколькими сособственниками в долевую собственность) </w:t>
      </w:r>
      <w:proofErr w:type="gramEnd"/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следует учитывать, что в случае если в орган регистрации прав поступили возражения относительно размера и местоположения границ земельного участка, выделяемого в счет земельной доли, и в составе документов, представленных для осуществления государственного кадастрового учета и (или) государственной регистрации права, отсутствуют документы, подтверждающие снятие указанных возражений, то данные обстоятельства будут являться препятствием для проведения учетно-регистрационных действий (государственным регистратором прав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принято решение о приостановлении кадастрового учета и регистрации права).</w:t>
      </w:r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следует учитывать, что если собственник земельной доли осуществляет выдел своей доли из исходного земельного участка, находящегося в аренде, то в силу п. 4 ст. 11.2 Земельного кодекса Российской Федерации необходимо получить письменное согласие арендатора на выдел земельного участка (за отдельными исключениями, установленными законом). </w:t>
      </w:r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 случае если соблюдены все предусмотренные законом условия для выделения земельного участка в счет земельной доли и проект межевания соответствует установленным требованиям к его форме и содержанию, то осуществляется постановка образованного земельного участка на государственный кадастровый учет, ему присваивается отдельный кадастровый номер, а также проводится государственная регистрация права собственности на данный земельный участок лица, ранее являвшегося собственником земельной доли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исходном земельном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этом запись в Едином государственном реестре недвижимости о праве данного лица на земельную долю в исходном участке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погашается.</w:t>
      </w:r>
    </w:p>
    <w:p w:rsidR="001A25D3" w:rsidRDefault="001A25D3" w:rsidP="001A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Отдельным условием проведения государственной регистрации права собственности на земельный участок, выделенный в счет земельной доли, является уплата государственной пошлины, размер которой составляет 350 рублей.</w:t>
      </w:r>
    </w:p>
    <w:p w:rsidR="001A25D3" w:rsidRDefault="001A25D3" w:rsidP="001A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5D3" w:rsidRDefault="001A25D3" w:rsidP="001A2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7E9" w:rsidRDefault="009257E9"/>
    <w:p w:rsidR="001A25D3" w:rsidRDefault="001A25D3"/>
    <w:p w:rsidR="001A25D3" w:rsidRDefault="001A25D3"/>
    <w:p w:rsidR="001A25D3" w:rsidRDefault="001A25D3"/>
    <w:p w:rsidR="001A25D3" w:rsidRDefault="001A25D3"/>
    <w:p w:rsidR="001A25D3" w:rsidRDefault="001A25D3"/>
    <w:p w:rsidR="001A25D3" w:rsidRDefault="001A25D3"/>
    <w:p w:rsidR="001A25D3" w:rsidRDefault="001A25D3"/>
    <w:p w:rsidR="001A25D3" w:rsidRDefault="001A25D3"/>
    <w:p w:rsidR="001A25D3" w:rsidRDefault="001A25D3"/>
    <w:p w:rsidR="001A25D3" w:rsidRDefault="001A25D3"/>
    <w:p w:rsidR="001A25D3" w:rsidRDefault="001A25D3"/>
    <w:p w:rsidR="001A25D3" w:rsidRDefault="001A25D3"/>
    <w:p w:rsidR="001A25D3" w:rsidRDefault="001A25D3"/>
    <w:p w:rsidR="001A25D3" w:rsidRDefault="001A25D3"/>
    <w:p w:rsidR="001A25D3" w:rsidRPr="001A25D3" w:rsidRDefault="001A25D3" w:rsidP="001A25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25D3" w:rsidRPr="001A25D3" w:rsidRDefault="001A25D3" w:rsidP="001A25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5D3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1A25D3" w:rsidRPr="001A25D3" w:rsidRDefault="001A25D3" w:rsidP="001A25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5D3">
        <w:rPr>
          <w:rFonts w:ascii="Times New Roman" w:hAnsi="Times New Roman" w:cs="Times New Roman"/>
          <w:sz w:val="24"/>
          <w:szCs w:val="24"/>
        </w:rPr>
        <w:t>Пресс-служба Управлен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Курской области </w:t>
      </w:r>
    </w:p>
    <w:p w:rsidR="001A25D3" w:rsidRPr="001A25D3" w:rsidRDefault="001A25D3" w:rsidP="001A25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5D3">
        <w:rPr>
          <w:rFonts w:ascii="Times New Roman" w:hAnsi="Times New Roman" w:cs="Times New Roman"/>
          <w:sz w:val="24"/>
          <w:szCs w:val="24"/>
        </w:rPr>
        <w:t>Тел.: +7 (4712) 52-92-75</w:t>
      </w:r>
    </w:p>
    <w:p w:rsidR="001A25D3" w:rsidRPr="001A25D3" w:rsidRDefault="001A25D3" w:rsidP="001A25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5D3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1A25D3">
        <w:rPr>
          <w:rFonts w:ascii="Times New Roman" w:hAnsi="Times New Roman" w:cs="Times New Roman"/>
          <w:sz w:val="24"/>
          <w:szCs w:val="24"/>
        </w:rPr>
        <w:t>.: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A25D3">
        <w:rPr>
          <w:rFonts w:ascii="Times New Roman" w:hAnsi="Times New Roman" w:cs="Times New Roman"/>
          <w:sz w:val="24"/>
          <w:szCs w:val="24"/>
        </w:rPr>
        <w:t>919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A25D3">
        <w:rPr>
          <w:rFonts w:ascii="Times New Roman" w:hAnsi="Times New Roman" w:cs="Times New Roman"/>
          <w:sz w:val="24"/>
          <w:szCs w:val="24"/>
        </w:rPr>
        <w:t>213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A25D3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A25D3">
        <w:rPr>
          <w:rFonts w:ascii="Times New Roman" w:hAnsi="Times New Roman" w:cs="Times New Roman"/>
          <w:sz w:val="24"/>
          <w:szCs w:val="24"/>
        </w:rPr>
        <w:t>38</w:t>
      </w:r>
    </w:p>
    <w:p w:rsidR="001A25D3" w:rsidRPr="001A25D3" w:rsidRDefault="001A25D3" w:rsidP="001A25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5D3">
        <w:rPr>
          <w:rFonts w:ascii="Times New Roman" w:hAnsi="Times New Roman" w:cs="Times New Roman"/>
          <w:sz w:val="24"/>
          <w:szCs w:val="24"/>
        </w:rPr>
        <w:t>Bashkeyeva@r46.rosreestr.ru</w:t>
      </w:r>
    </w:p>
    <w:p w:rsidR="001A25D3" w:rsidRDefault="001A25D3" w:rsidP="001A25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5D3">
        <w:rPr>
          <w:rFonts w:ascii="Times New Roman" w:hAnsi="Times New Roman" w:cs="Times New Roman"/>
          <w:sz w:val="24"/>
          <w:szCs w:val="24"/>
        </w:rPr>
        <w:t xml:space="preserve">Мы в </w:t>
      </w:r>
      <w:proofErr w:type="spellStart"/>
      <w:r w:rsidRPr="001A25D3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1A25D3">
        <w:rPr>
          <w:rFonts w:ascii="Times New Roman" w:hAnsi="Times New Roman" w:cs="Times New Roman"/>
          <w:sz w:val="24"/>
          <w:szCs w:val="24"/>
        </w:rPr>
        <w:t xml:space="preserve">: </w:t>
      </w:r>
      <w:r w:rsidRPr="001A2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1A25D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https://www.instagram.com/rosreestr46/</w:t>
        </w:r>
      </w:hyperlink>
      <w:r w:rsidRPr="001A2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5D3" w:rsidRDefault="001A25D3" w:rsidP="001A25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25D3" w:rsidRPr="001A25D3" w:rsidRDefault="001A25D3" w:rsidP="001A25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5D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89125" cy="779813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77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5D3" w:rsidRPr="001A25D3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5D3"/>
    <w:rsid w:val="001A25D3"/>
    <w:rsid w:val="009257E9"/>
    <w:rsid w:val="00AB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D3"/>
    <w:pPr>
      <w:spacing w:after="160" w:line="256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D3"/>
    <w:rPr>
      <w:rFonts w:ascii="Tahoma" w:hAnsi="Tahoma" w:cs="Tahoma"/>
      <w:color w:val="auto"/>
      <w:spacing w:val="0"/>
      <w:sz w:val="16"/>
      <w:szCs w:val="16"/>
    </w:rPr>
  </w:style>
  <w:style w:type="paragraph" w:customStyle="1" w:styleId="p2">
    <w:name w:val="p2"/>
    <w:basedOn w:val="a"/>
    <w:rsid w:val="001A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25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rosreestr4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1209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1</cp:revision>
  <cp:lastPrinted>2021-05-17T15:02:00Z</cp:lastPrinted>
  <dcterms:created xsi:type="dcterms:W3CDTF">2021-05-17T14:56:00Z</dcterms:created>
  <dcterms:modified xsi:type="dcterms:W3CDTF">2021-05-17T15:05:00Z</dcterms:modified>
</cp:coreProperties>
</file>