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70" w:rsidRPr="00BA1770" w:rsidRDefault="00BA1770" w:rsidP="00BA17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177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65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6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775A">
        <w:rPr>
          <w:rFonts w:ascii="Times New Roman" w:hAnsi="Times New Roman" w:cs="Times New Roman"/>
          <w:sz w:val="28"/>
          <w:szCs w:val="28"/>
        </w:rPr>
        <w:t>ЛОБАЗОВСКОГО</w:t>
      </w:r>
      <w:r w:rsidRPr="008E16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E1657">
        <w:rPr>
          <w:rFonts w:ascii="Times New Roman" w:hAnsi="Times New Roman" w:cs="Times New Roman"/>
          <w:sz w:val="28"/>
          <w:szCs w:val="28"/>
        </w:rPr>
        <w:br/>
        <w:t>ОКТЯБРЬСКОГО РАЙОНА КУРСКОЙ ОБЛАСТИ</w:t>
      </w: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6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1657" w:rsidRPr="008E1657" w:rsidRDefault="008E1657" w:rsidP="008E1657">
      <w:pPr>
        <w:rPr>
          <w:rFonts w:ascii="Times New Roman" w:hAnsi="Times New Roman" w:cs="Times New Roman"/>
          <w:sz w:val="28"/>
          <w:szCs w:val="28"/>
        </w:rPr>
      </w:pPr>
    </w:p>
    <w:p w:rsidR="008E1657" w:rsidRPr="008E1657" w:rsidRDefault="008E1657" w:rsidP="008E1657">
      <w:pPr>
        <w:rPr>
          <w:rFonts w:ascii="Times New Roman" w:hAnsi="Times New Roman" w:cs="Times New Roman"/>
          <w:sz w:val="28"/>
          <w:szCs w:val="28"/>
        </w:rPr>
      </w:pPr>
    </w:p>
    <w:p w:rsidR="008E1657" w:rsidRPr="00BA1770" w:rsidRDefault="008E1657" w:rsidP="008E16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от 2019 года № </w:t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</w:r>
      <w:r w:rsidRPr="00BA177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7C1279" w:rsidRPr="00BA1770" w:rsidRDefault="007C1279" w:rsidP="007C1279">
      <w:pPr>
        <w:pStyle w:val="1"/>
        <w:rPr>
          <w:rStyle w:val="a4"/>
          <w:rFonts w:ascii="Times New Roman" w:hAnsi="Times New Roman"/>
          <w:b w:val="0"/>
          <w:bCs w:val="0"/>
          <w:color w:val="FF0000"/>
          <w:sz w:val="28"/>
          <w:szCs w:val="28"/>
        </w:rPr>
      </w:pPr>
    </w:p>
    <w:p w:rsidR="007C1279" w:rsidRPr="00BA1770" w:rsidRDefault="007C1279" w:rsidP="008E1657">
      <w:pPr>
        <w:pStyle w:val="1"/>
        <w:ind w:right="48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1770">
        <w:rPr>
          <w:rStyle w:val="a4"/>
          <w:rFonts w:ascii="Times New Roman" w:hAnsi="Times New Roman"/>
          <w:bCs w:val="0"/>
          <w:sz w:val="28"/>
          <w:szCs w:val="28"/>
        </w:rPr>
        <w:t xml:space="preserve">О порядке проведения экспертизы проектов муниципальных программ </w:t>
      </w:r>
      <w:r w:rsidR="0091775A">
        <w:rPr>
          <w:rFonts w:ascii="Times New Roman" w:hAnsi="Times New Roman" w:cs="Times New Roman"/>
          <w:bCs w:val="0"/>
          <w:color w:val="auto"/>
          <w:sz w:val="28"/>
          <w:szCs w:val="28"/>
        </w:rPr>
        <w:t>Лобазовского</w:t>
      </w:r>
      <w:r w:rsidR="008E1657" w:rsidRPr="00BA177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сельсовета Октябрьского района Курской</w:t>
      </w:r>
      <w:r w:rsidRPr="00BA177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области</w:t>
      </w: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8E1657">
      <w:pPr>
        <w:shd w:val="clear" w:color="auto" w:fill="FFFFFF"/>
        <w:ind w:firstLine="56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Руководствуясь ст. 157 </w:t>
      </w:r>
      <w:r w:rsidRPr="00BA1770">
        <w:rPr>
          <w:rStyle w:val="a4"/>
          <w:rFonts w:ascii="Times New Roman" w:hAnsi="Times New Roman"/>
          <w:sz w:val="28"/>
          <w:szCs w:val="28"/>
        </w:rPr>
        <w:t>Бюджетного кодекса</w:t>
      </w:r>
      <w:r w:rsidRPr="00BA1770">
        <w:rPr>
          <w:rFonts w:ascii="Times New Roman" w:hAnsi="Times New Roman" w:cs="Times New Roman"/>
          <w:sz w:val="28"/>
          <w:szCs w:val="28"/>
        </w:rPr>
        <w:t xml:space="preserve"> Российской Федерации,  Уставом </w:t>
      </w:r>
      <w:r w:rsidR="008E1657" w:rsidRPr="00BA177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1775A">
        <w:rPr>
          <w:rFonts w:ascii="Times New Roman" w:hAnsi="Times New Roman" w:cs="Times New Roman"/>
          <w:sz w:val="28"/>
          <w:szCs w:val="28"/>
        </w:rPr>
        <w:t>Лобазовский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BA1770">
        <w:rPr>
          <w:rFonts w:ascii="Times New Roman" w:hAnsi="Times New Roman" w:cs="Times New Roman"/>
          <w:sz w:val="28"/>
          <w:szCs w:val="28"/>
        </w:rPr>
        <w:t>,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</w:t>
      </w:r>
      <w:r w:rsidRPr="00BA17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775A">
        <w:rPr>
          <w:rFonts w:ascii="Times New Roman" w:hAnsi="Times New Roman" w:cs="Times New Roman"/>
          <w:sz w:val="28"/>
          <w:szCs w:val="28"/>
        </w:rPr>
        <w:t>Лобазовского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  <w:r w:rsidR="004F4A2E" w:rsidRPr="00BA177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A1770">
        <w:rPr>
          <w:rFonts w:ascii="Times New Roman" w:hAnsi="Times New Roman" w:cs="Times New Roman"/>
          <w:b/>
          <w:sz w:val="28"/>
          <w:szCs w:val="28"/>
        </w:rPr>
        <w:t>:</w:t>
      </w: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1. Утвердить Порядок проведения экспертизы проектов муниципальных программ </w:t>
      </w:r>
      <w:r w:rsidR="0091775A">
        <w:rPr>
          <w:rFonts w:ascii="Times New Roman" w:hAnsi="Times New Roman" w:cs="Times New Roman"/>
          <w:sz w:val="28"/>
          <w:szCs w:val="28"/>
        </w:rPr>
        <w:t>Лобазовского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</w:t>
      </w:r>
      <w:r w:rsidRPr="00BA1770">
        <w:rPr>
          <w:rFonts w:ascii="Times New Roman" w:hAnsi="Times New Roman" w:cs="Times New Roman"/>
          <w:sz w:val="28"/>
          <w:szCs w:val="28"/>
        </w:rPr>
        <w:t>области (приложение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№ 1</w:t>
      </w:r>
      <w:r w:rsidRPr="00BA1770">
        <w:rPr>
          <w:rFonts w:ascii="Times New Roman" w:hAnsi="Times New Roman" w:cs="Times New Roman"/>
          <w:sz w:val="28"/>
          <w:szCs w:val="28"/>
        </w:rPr>
        <w:t>).</w:t>
      </w:r>
    </w:p>
    <w:p w:rsidR="009D1702" w:rsidRPr="00BA1770" w:rsidRDefault="009D1702" w:rsidP="007C12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8E1657">
      <w:pPr>
        <w:pStyle w:val="justpp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="008E1657" w:rsidRPr="00BA1770">
        <w:rPr>
          <w:rFonts w:ascii="Times New Roman" w:hAnsi="Times New Roman" w:cs="Times New Roman"/>
          <w:sz w:val="28"/>
          <w:szCs w:val="28"/>
        </w:rPr>
        <w:t>Р</w:t>
      </w:r>
      <w:r w:rsidRPr="00BA17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BA1770">
        <w:rPr>
          <w:rFonts w:ascii="Times New Roman" w:hAnsi="Times New Roman" w:cs="Times New Roman"/>
          <w:sz w:val="28"/>
          <w:szCs w:val="28"/>
        </w:rPr>
        <w:t xml:space="preserve"> </w:t>
      </w:r>
      <w:r w:rsidR="001941B4" w:rsidRPr="00BA177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BA1770">
        <w:rPr>
          <w:rFonts w:ascii="Times New Roman" w:hAnsi="Times New Roman" w:cs="Times New Roman"/>
          <w:sz w:val="28"/>
          <w:szCs w:val="28"/>
        </w:rPr>
        <w:t xml:space="preserve">на  официальном сайте администрации </w:t>
      </w:r>
      <w:r w:rsidR="0091775A">
        <w:rPr>
          <w:rFonts w:ascii="Times New Roman" w:hAnsi="Times New Roman" w:cs="Times New Roman"/>
          <w:sz w:val="28"/>
          <w:szCs w:val="28"/>
        </w:rPr>
        <w:t>Лобазовского</w:t>
      </w:r>
      <w:r w:rsidR="001941B4" w:rsidRPr="00BA17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F4A2E" w:rsidRPr="00BA1770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1941B4" w:rsidRPr="00BA1770">
        <w:rPr>
          <w:rFonts w:ascii="Times New Roman" w:hAnsi="Times New Roman" w:cs="Times New Roman"/>
          <w:sz w:val="28"/>
          <w:szCs w:val="28"/>
        </w:rPr>
        <w:t>И</w:t>
      </w:r>
      <w:r w:rsidR="004F4A2E" w:rsidRPr="00BA1770">
        <w:rPr>
          <w:rFonts w:ascii="Times New Roman" w:hAnsi="Times New Roman" w:cs="Times New Roman"/>
          <w:sz w:val="28"/>
          <w:szCs w:val="28"/>
        </w:rPr>
        <w:t>нтернет</w:t>
      </w:r>
      <w:r w:rsidRPr="00BA1770">
        <w:rPr>
          <w:rFonts w:ascii="Times New Roman" w:hAnsi="Times New Roman" w:cs="Times New Roman"/>
          <w:sz w:val="28"/>
          <w:szCs w:val="28"/>
        </w:rPr>
        <w:t>.</w:t>
      </w:r>
    </w:p>
    <w:p w:rsidR="009D1702" w:rsidRPr="00BA1770" w:rsidRDefault="009D1702" w:rsidP="008E1657">
      <w:pPr>
        <w:pStyle w:val="justpp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8E1657" w:rsidRPr="00BA1770" w:rsidRDefault="001941B4" w:rsidP="008E16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>3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1657" w:rsidRPr="00BA1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1657" w:rsidRPr="00BA17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отдела </w:t>
      </w:r>
      <w:proofErr w:type="spellStart"/>
      <w:r w:rsidR="0091775A">
        <w:rPr>
          <w:rFonts w:ascii="Times New Roman" w:hAnsi="Times New Roman" w:cs="Times New Roman"/>
          <w:sz w:val="28"/>
          <w:szCs w:val="28"/>
        </w:rPr>
        <w:t>Францову</w:t>
      </w:r>
      <w:proofErr w:type="spellEnd"/>
      <w:r w:rsidR="0091775A">
        <w:rPr>
          <w:rFonts w:ascii="Times New Roman" w:hAnsi="Times New Roman" w:cs="Times New Roman"/>
          <w:sz w:val="28"/>
          <w:szCs w:val="28"/>
        </w:rPr>
        <w:t xml:space="preserve"> Л.П</w:t>
      </w:r>
      <w:r w:rsidR="008E1657" w:rsidRPr="00BA1770">
        <w:rPr>
          <w:rFonts w:ascii="Times New Roman" w:hAnsi="Times New Roman" w:cs="Times New Roman"/>
          <w:sz w:val="28"/>
          <w:szCs w:val="28"/>
        </w:rPr>
        <w:t>.</w:t>
      </w:r>
    </w:p>
    <w:p w:rsidR="009D1702" w:rsidRPr="00BA1770" w:rsidRDefault="009D1702" w:rsidP="008E165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41B4" w:rsidRPr="00BA1770" w:rsidRDefault="001941B4" w:rsidP="008E16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rPr>
          <w:rFonts w:ascii="Times New Roman" w:hAnsi="Times New Roman" w:cs="Times New Roman"/>
          <w:sz w:val="28"/>
          <w:szCs w:val="28"/>
        </w:rPr>
      </w:pPr>
    </w:p>
    <w:p w:rsidR="007C1279" w:rsidRPr="00BA1770" w:rsidRDefault="007C1279" w:rsidP="007C1279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ab/>
      </w:r>
    </w:p>
    <w:p w:rsidR="008E1657" w:rsidRPr="00BA1770" w:rsidRDefault="00936EC6" w:rsidP="008E16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 </w:t>
      </w:r>
      <w:r w:rsidR="007C1279" w:rsidRPr="00BA1770">
        <w:rPr>
          <w:rFonts w:ascii="Times New Roman" w:hAnsi="Times New Roman" w:cs="Times New Roman"/>
          <w:sz w:val="28"/>
          <w:szCs w:val="28"/>
        </w:rPr>
        <w:t>Глав</w:t>
      </w:r>
      <w:r w:rsidR="008E1657" w:rsidRPr="00BA1770">
        <w:rPr>
          <w:rFonts w:ascii="Times New Roman" w:hAnsi="Times New Roman" w:cs="Times New Roman"/>
          <w:sz w:val="28"/>
          <w:szCs w:val="28"/>
        </w:rPr>
        <w:t>а</w:t>
      </w:r>
      <w:r w:rsidRPr="00BA1770">
        <w:rPr>
          <w:rFonts w:ascii="Times New Roman" w:hAnsi="Times New Roman" w:cs="Times New Roman"/>
          <w:sz w:val="28"/>
          <w:szCs w:val="28"/>
        </w:rPr>
        <w:t xml:space="preserve"> </w:t>
      </w:r>
      <w:r w:rsidR="0091775A">
        <w:rPr>
          <w:rFonts w:ascii="Times New Roman" w:hAnsi="Times New Roman" w:cs="Times New Roman"/>
          <w:sz w:val="28"/>
          <w:szCs w:val="28"/>
        </w:rPr>
        <w:t>Лобазовского</w:t>
      </w:r>
      <w:r w:rsidR="008E1657" w:rsidRPr="00BA17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C1279" w:rsidRDefault="008E1657" w:rsidP="008E16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1770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</w:t>
      </w:r>
      <w:r w:rsidR="00BA1770">
        <w:rPr>
          <w:rFonts w:ascii="Times New Roman" w:hAnsi="Times New Roman" w:cs="Times New Roman"/>
          <w:sz w:val="28"/>
          <w:szCs w:val="28"/>
        </w:rPr>
        <w:t xml:space="preserve"> </w:t>
      </w:r>
      <w:r w:rsidR="0091775A">
        <w:rPr>
          <w:rFonts w:ascii="Times New Roman" w:hAnsi="Times New Roman" w:cs="Times New Roman"/>
          <w:sz w:val="28"/>
          <w:szCs w:val="28"/>
        </w:rPr>
        <w:t>В.Н.Гребенникова</w:t>
      </w:r>
    </w:p>
    <w:p w:rsidR="0091775A" w:rsidRPr="00BA1770" w:rsidRDefault="0091775A" w:rsidP="008E1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BA1770" w:rsidRDefault="007C1279" w:rsidP="007C127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A177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7C1279" w:rsidRPr="008E1657" w:rsidRDefault="007C1279" w:rsidP="00BA177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 к</w:t>
      </w:r>
      <w:r w:rsidR="00BA1770">
        <w:rPr>
          <w:rFonts w:ascii="Times New Roman" w:hAnsi="Times New Roman" w:cs="Times New Roman"/>
          <w:sz w:val="24"/>
          <w:szCs w:val="24"/>
        </w:rPr>
        <w:t xml:space="preserve"> </w:t>
      </w:r>
      <w:r w:rsidRPr="008E165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522BA4" w:rsidRDefault="0091775A" w:rsidP="007C1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C1279" w:rsidRPr="008E1657" w:rsidRDefault="007C1279" w:rsidP="007C1279">
      <w:pPr>
        <w:jc w:val="right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от </w:t>
      </w:r>
      <w:r w:rsidR="00936EC6" w:rsidRPr="008E1657">
        <w:rPr>
          <w:rFonts w:ascii="Times New Roman" w:hAnsi="Times New Roman" w:cs="Times New Roman"/>
          <w:sz w:val="24"/>
          <w:szCs w:val="24"/>
        </w:rPr>
        <w:t>201</w:t>
      </w:r>
      <w:r w:rsidR="00522BA4">
        <w:rPr>
          <w:rFonts w:ascii="Times New Roman" w:hAnsi="Times New Roman" w:cs="Times New Roman"/>
          <w:sz w:val="24"/>
          <w:szCs w:val="24"/>
        </w:rPr>
        <w:t>9</w:t>
      </w:r>
      <w:r w:rsidR="00936EC6" w:rsidRPr="008E1657">
        <w:rPr>
          <w:rFonts w:ascii="Times New Roman" w:hAnsi="Times New Roman" w:cs="Times New Roman"/>
          <w:sz w:val="24"/>
          <w:szCs w:val="24"/>
        </w:rPr>
        <w:t xml:space="preserve"> </w:t>
      </w:r>
      <w:r w:rsidRPr="008E1657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C1279" w:rsidRPr="008E1657" w:rsidRDefault="007C1279" w:rsidP="007C1279">
      <w:pPr>
        <w:pStyle w:val="a5"/>
        <w:jc w:val="center"/>
        <w:rPr>
          <w:rStyle w:val="a6"/>
          <w:rFonts w:ascii="Times New Roman" w:hAnsi="Times New Roman"/>
          <w:sz w:val="26"/>
          <w:szCs w:val="26"/>
        </w:rPr>
      </w:pPr>
    </w:p>
    <w:p w:rsidR="007C1279" w:rsidRPr="008E1657" w:rsidRDefault="007C1279" w:rsidP="00522BA4">
      <w:pPr>
        <w:rPr>
          <w:rFonts w:ascii="Times New Roman" w:hAnsi="Times New Roman" w:cs="Times New Roman"/>
        </w:rPr>
      </w:pPr>
    </w:p>
    <w:p w:rsidR="004F4A2E" w:rsidRPr="008E1657" w:rsidRDefault="007C1279" w:rsidP="00522BA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Порядок</w:t>
      </w:r>
    </w:p>
    <w:p w:rsidR="007C1279" w:rsidRPr="008E1657" w:rsidRDefault="007C1279" w:rsidP="00522BA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проведения экспертизы проектов муниципальных программ</w:t>
      </w:r>
    </w:p>
    <w:p w:rsidR="00522BA4" w:rsidRDefault="0091775A" w:rsidP="00522BA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="007C1279" w:rsidRPr="008E165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</w:p>
    <w:p w:rsidR="007C1279" w:rsidRPr="008E1657" w:rsidRDefault="007C1279" w:rsidP="00522BA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1. Общие положения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1.1. Порядок проведения экспертизы проектов муниципальных программ </w:t>
      </w:r>
      <w:r w:rsidR="0091775A"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8E1657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целях методологического </w:t>
      </w:r>
      <w:proofErr w:type="gramStart"/>
      <w:r w:rsidRPr="008E1657">
        <w:rPr>
          <w:rFonts w:ascii="Times New Roman" w:hAnsi="Times New Roman" w:cs="Times New Roman"/>
          <w:sz w:val="24"/>
          <w:szCs w:val="24"/>
        </w:rPr>
        <w:t>обеспечения реализации функции  финансового контроля администрации</w:t>
      </w:r>
      <w:proofErr w:type="gramEnd"/>
      <w:r w:rsidRPr="008E1657">
        <w:rPr>
          <w:rFonts w:ascii="Times New Roman" w:hAnsi="Times New Roman" w:cs="Times New Roman"/>
          <w:sz w:val="24"/>
          <w:szCs w:val="24"/>
        </w:rPr>
        <w:t xml:space="preserve"> </w:t>
      </w:r>
      <w:r w:rsidR="0091775A"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8E1657">
        <w:rPr>
          <w:rFonts w:ascii="Times New Roman" w:hAnsi="Times New Roman" w:cs="Times New Roman"/>
          <w:sz w:val="24"/>
          <w:szCs w:val="24"/>
        </w:rPr>
        <w:t xml:space="preserve">по экспертизе муниципальных программ </w:t>
      </w:r>
      <w:r w:rsidR="0091775A"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1.2. Настоящий Порядок подготовлен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РФ, протокол от 17.10.2014 N 47К (993).</w:t>
      </w:r>
    </w:p>
    <w:p w:rsidR="007C1279" w:rsidRPr="008E1657" w:rsidRDefault="007C1279" w:rsidP="007C1279">
      <w:pPr>
        <w:ind w:left="139" w:firstLine="55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1.3. Порядок предназначен для организации и осуществления сотрудниками администрации </w:t>
      </w:r>
      <w:r w:rsidR="0091775A"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 xml:space="preserve"> системной и объективной экспертизы проектов муниципальных программ </w:t>
      </w:r>
      <w:r w:rsidR="0091775A"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а также изменений действующих программ.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</w:t>
      </w:r>
      <w:r w:rsidR="00936EC6" w:rsidRPr="008E1657">
        <w:rPr>
          <w:rFonts w:ascii="Times New Roman" w:hAnsi="Times New Roman" w:cs="Times New Roman"/>
          <w:sz w:val="24"/>
          <w:szCs w:val="24"/>
        </w:rPr>
        <w:t>4</w:t>
      </w:r>
      <w:r w:rsidRPr="008E1657">
        <w:rPr>
          <w:rFonts w:ascii="Times New Roman" w:hAnsi="Times New Roman" w:cs="Times New Roman"/>
          <w:sz w:val="24"/>
          <w:szCs w:val="24"/>
        </w:rPr>
        <w:t xml:space="preserve">. При проведении экспертизы проектов муниципальных программ </w:t>
      </w:r>
      <w:r w:rsidR="0091775A"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а также изменений действующих программ сотрудник</w:t>
      </w:r>
      <w:proofErr w:type="gramStart"/>
      <w:r w:rsidRPr="008E165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1657">
        <w:rPr>
          <w:rFonts w:ascii="Times New Roman" w:hAnsi="Times New Roman" w:cs="Times New Roman"/>
          <w:sz w:val="24"/>
          <w:szCs w:val="24"/>
        </w:rPr>
        <w:t>должностное лицо) руководствуются: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</w:t>
      </w:r>
      <w:r w:rsidRPr="008E1657">
        <w:rPr>
          <w:rStyle w:val="a4"/>
          <w:rFonts w:ascii="Times New Roman" w:hAnsi="Times New Roman"/>
          <w:sz w:val="24"/>
          <w:szCs w:val="24"/>
        </w:rPr>
        <w:t>Бюджетным Кодексом</w:t>
      </w:r>
      <w:r w:rsidRPr="008E165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Федеральными законами, нормативными правовыми актов в зависимости от специфики объекта проверки и рассматриваемых вопросов;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</w:t>
      </w:r>
      <w:r w:rsidR="00936EC6" w:rsidRPr="008E1657">
        <w:rPr>
          <w:rFonts w:ascii="Times New Roman" w:hAnsi="Times New Roman" w:cs="Times New Roman"/>
          <w:sz w:val="24"/>
          <w:szCs w:val="24"/>
        </w:rPr>
        <w:t>5</w:t>
      </w:r>
      <w:r w:rsidRPr="008E1657">
        <w:rPr>
          <w:rFonts w:ascii="Times New Roman" w:hAnsi="Times New Roman" w:cs="Times New Roman"/>
          <w:sz w:val="24"/>
          <w:szCs w:val="24"/>
        </w:rPr>
        <w:t xml:space="preserve">. Целью Порядка является определение обязательных для выполнения унифицированных методов (способов) организации, проведения и оформления результатов экспертизы проектов муниципальных программ </w:t>
      </w:r>
      <w:r w:rsidR="0091775A"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а также разработки предложений о внесении изменений в муниципальные программы в пределах полномочий и задач, возложенных на должностное лицо.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</w:t>
      </w:r>
      <w:r w:rsidR="00936EC6" w:rsidRPr="008E1657">
        <w:rPr>
          <w:rFonts w:ascii="Times New Roman" w:hAnsi="Times New Roman" w:cs="Times New Roman"/>
          <w:sz w:val="24"/>
          <w:szCs w:val="24"/>
        </w:rPr>
        <w:t>6</w:t>
      </w:r>
      <w:r w:rsidRPr="008E1657">
        <w:rPr>
          <w:rFonts w:ascii="Times New Roman" w:hAnsi="Times New Roman" w:cs="Times New Roman"/>
          <w:sz w:val="24"/>
          <w:szCs w:val="24"/>
        </w:rPr>
        <w:t>. Задачи, решаемые Порядком: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определение основных подходов и этапов проведения экспертизы проектов муниципальных программ и муниципальных правовых актов, предусматривающих внесение изменений в действующие программы (далее - экспертиза проектов муниципальных программ);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установление требований к содержанию экспертно-аналитических мероприятий, предусматривающих экспертизу муниципальных программ;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определение структуры, содержания и основных требований к заключениям  на проекты муниципальных программ;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установление взаимодействия должностных лиц  при проведении экспертизы муниципальных программ.</w:t>
      </w:r>
    </w:p>
    <w:p w:rsidR="007C1279" w:rsidRPr="008E1657" w:rsidRDefault="007C1279" w:rsidP="007C1279">
      <w:pPr>
        <w:ind w:left="419" w:firstLine="27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1.</w:t>
      </w:r>
      <w:r w:rsidR="00936EC6" w:rsidRPr="008E1657">
        <w:rPr>
          <w:rFonts w:ascii="Times New Roman" w:hAnsi="Times New Roman" w:cs="Times New Roman"/>
          <w:sz w:val="24"/>
          <w:szCs w:val="24"/>
        </w:rPr>
        <w:t>7</w:t>
      </w:r>
      <w:r w:rsidRPr="008E1657">
        <w:rPr>
          <w:rFonts w:ascii="Times New Roman" w:hAnsi="Times New Roman" w:cs="Times New Roman"/>
          <w:sz w:val="24"/>
          <w:szCs w:val="24"/>
        </w:rPr>
        <w:t>. Основные термины и понятия: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экспертиза проекта муниципальной программы - экспертно-аналитическое </w:t>
      </w:r>
      <w:r w:rsidRPr="008E1657">
        <w:rPr>
          <w:rFonts w:ascii="Times New Roman" w:hAnsi="Times New Roman" w:cs="Times New Roman"/>
          <w:sz w:val="24"/>
          <w:szCs w:val="24"/>
        </w:rPr>
        <w:lastRenderedPageBreak/>
        <w:t>мероприятие, представляющее собой исследование на предварительном этапе контроля по оценке проекта нормативного правового акта с точки зрения соответствия действующему законодательству, обеспеченности проектируемых нормативных решений финансовыми, организационными и иными ресурсами, целесообразности предполагаемых затрат с учетом ожидаемых результатов;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целевые (индикативные) показатели, индикаторы - показатели, установленные программой, для оценки степени достижения поставленных программой целей и задач.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pStyle w:val="1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2. Требования к проведению экспертизы проекта муниципальной программы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2.1. Основными задачами экспертизы проекта муниципальной программы является оценка: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обоснованность отнесения мероприятий программы к вопросам местного значения;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соответствия положений проекта муниципальной программы нормам законов и иных нормативных правовых актов;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целостности и связанности целей, задач муниципальной программы и мероприятий по их выполнению;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обоснованности заявленных финансовых потребностей муниципальной программы.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2.2. Комплекс мероприятий по экспертизе проекта муниципальной программы определяется сотрудником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2.3. Сотрудник  (с привлечением внешних экспертов при необходимости) рассматривает следующие вопросы: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обоснованность выделения подпрограмм и мероприятий с учётом проведённого анализа текущей ситуации в сфере реализации Программы;</w:t>
      </w:r>
    </w:p>
    <w:p w:rsidR="007C1279" w:rsidRPr="008E1657" w:rsidRDefault="007C1279" w:rsidP="007C1279">
      <w:pPr>
        <w:ind w:left="419" w:hanging="41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соответствие целей программы поставленной проблеме;</w:t>
      </w:r>
    </w:p>
    <w:p w:rsidR="007C1279" w:rsidRPr="008E1657" w:rsidRDefault="007C1279" w:rsidP="007C1279">
      <w:pPr>
        <w:ind w:left="419" w:hanging="41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соответствие планируемых задач целям программы;</w:t>
      </w:r>
    </w:p>
    <w:p w:rsidR="007C1279" w:rsidRPr="008E1657" w:rsidRDefault="007C1279" w:rsidP="007C1279">
      <w:pPr>
        <w:ind w:left="419" w:hanging="41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четкость формулировок целей и задач;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соответствие программных мероприятий целям и задачам программы;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целесообразность предлагаемых мероприятий для достижения цели (целей) и ожидаемых результатов Программы, достижения ожидаемых результатов подпрограмм;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промежуточных планируемых результатов;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финансово-экономического обоснования, технико-экономического обоснования (при необходимости) и его соответствие установленным требованиям;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обоснованность объемов финансирования программных мероприятий и эксплуатационных расходов;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корректность и обоснованность классификации мероприятий Программы на аналитические и специальные, а также их группировки по аналитическим и специальным подпрограммам;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прямой взаимосвязи между индикаторами (целевыми, индикативными показателями) и программными мероприятиями;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виды и обоснованность источников финансирования муниципальных программ;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иные вопросы.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- соответствие структуры проекта программы требованиям действующего законодательства и нормативных правовых актов </w:t>
      </w:r>
      <w:r w:rsidR="0091775A"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обоснованность отнесения мероприятий программы к вопросам местного значения;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коррупциогенных факторов и предпосылок ограничения конкуренции;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lastRenderedPageBreak/>
        <w:t>- экспертиза программы на соответствие юридических терминов и понятий;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иные вопросы.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ответственных лиц  за реализацию программы в целом и за исполнение отдельных программных мероприятий;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механизм управления программой, в том числе схемы мониторинга реализации программы и взаимодействия разработчиков и исполнителей программных мероприятий;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наличие и полнота заключений ответственных лиц администрации;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взаимосвязь программных мероприятий, исключение дублирования мероприятий в различных программах;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проверяются соответствие объемов финансирования мероприятий муниципальной программы паспорту программы и проекта бюджета;</w:t>
      </w:r>
    </w:p>
    <w:p w:rsidR="007C1279" w:rsidRPr="008E1657" w:rsidRDefault="007C1279" w:rsidP="007C1279">
      <w:pPr>
        <w:ind w:left="419" w:hanging="419"/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иные вопросы.</w:t>
      </w:r>
    </w:p>
    <w:p w:rsidR="007C1279" w:rsidRPr="008E1657" w:rsidRDefault="007C1279" w:rsidP="007C1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1657">
        <w:rPr>
          <w:rStyle w:val="a3"/>
          <w:rFonts w:ascii="Times New Roman" w:hAnsi="Times New Roman" w:cs="Times New Roman"/>
          <w:b w:val="0"/>
          <w:sz w:val="24"/>
          <w:szCs w:val="24"/>
        </w:rPr>
        <w:t>2.4. При проведении экспертизы проекта муниципальной программы,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2.5. Экспертиза проектов нормативных правовых актов, предусматривающих внесение изменений в действующие муниципальные программы,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</w:t>
      </w:r>
      <w:r w:rsidR="0091775A"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а также: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корректности предлагаемых изменений (в т.ч. отсутствие изменений программы "задним числом");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логичности предлагаемых изменений (в т.ч. 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целесообразности предлагаемых изменений (потенциальная эффективность предлагаемых мер);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устранения или сохранения нарушений и недостатков программы, отмеченных Контрольно-счетной комиссией ранее по результатам экспертизы проекта программы.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2.6. В целях обсуждения и решения возникших вопросов по результатам проведенной экспертизы может быть организовано рабочее совещание с привлечением представителей разработчика и исполнителей муниципальной программы. Форма проведения совещания определяется главой администрации.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2.7. Экспертиза проектов муниципальных программ проводится в форме экспертно-аналитического мероприятия. Ответственность за организацию мероприятия возлагается на должностное лицо администрации специально уполномоченное.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2.8. Экспертиза проектов нормативных правовых актов об изменении муниципальных программ не оформляется отдельным мероприятием. Ответственность за подготовку заключения по итогам экспертизы возлагается на уполномоченное должностное лицо.</w:t>
      </w:r>
    </w:p>
    <w:p w:rsidR="007C1279" w:rsidRPr="008E1657" w:rsidRDefault="007C1279" w:rsidP="007C1279">
      <w:pPr>
        <w:pStyle w:val="1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3. Этапы проведения экспертизы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3.1. При поступлении проекта муниципальной программы сотрудник  оформляет поступившие документы согласно требованиям инструкции по делопроизводству.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3.2. Объем экспертизы проекта муниципальной программы определяется главой администрации 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При необходимости главой администрации при проведении экспертизы могут быть определены вопросы, на которые участвующим в проведение экспертизы предлагается </w:t>
      </w:r>
      <w:r w:rsidRPr="008E1657">
        <w:rPr>
          <w:rFonts w:ascii="Times New Roman" w:hAnsi="Times New Roman" w:cs="Times New Roman"/>
          <w:sz w:val="24"/>
          <w:szCs w:val="24"/>
        </w:rPr>
        <w:lastRenderedPageBreak/>
        <w:t>обратить особое внимание.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3.3. Экспертиза проекта муниципальной программы осуществляется в сроки, предусмотренные соответствующими нормативными правовыми актами Администрации </w:t>
      </w:r>
      <w:r w:rsidR="0091775A"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. Сотрудник осуществляют рассмотрение проекта программы в течение 3 рабочих дней с момента ее поступления.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pStyle w:val="1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4. Реализация </w:t>
      </w:r>
      <w:proofErr w:type="gramStart"/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t>итогов проведения экспертизы</w:t>
      </w:r>
      <w:r w:rsidRPr="008E1657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проектов муниципальных программ</w:t>
      </w:r>
      <w:proofErr w:type="gramEnd"/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4.1. Итогом проведения экспертизы проектов муниципальных программ является оценка проекта программы на основании поставленных вопросов. По итогам проведения экспертизы могут быть сформированы предложения по совершенствованию нормативной правовой базы </w:t>
      </w:r>
      <w:r w:rsidR="0091775A"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, реализации муниципальных программ, а также предложения по включению отдельных мероприятий в план работы  на следующий календарный год.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4.2. По результатам проведения экспертизы составляется заключение.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Заключение состоит из вводной и содержательной частей.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Во вводной части заключения указываются реквизиты документов, на основании и с учетом которых проведена экспертиза, перечень дополнительно запрошенных и (или) изученных в ходе экспертизы документов, материалы которых были учтены при подготовке заключения, сведения о привлеченных внешних экспертах.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В содержательной части заключения обязательно отражаются выводы сотрудников  по экспертизе муниципальной программы.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В содержательной части заключения могут быть отражены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анализа предметной сферы жизнедеятельности муниципального образования;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определения целей, выбора ожидаемых результатов;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постановки задач, выбора принципиальных подходов решения проблемы (улучшения состояния жизнедеятельности муниципального образования);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определение целевых, индикативных показателей (индикаторов);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распределения задач и мероприятий между соисполнителями муниципальной программы;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 (изменением) программы;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общее изменение объема финансирования с оценкой его обоснованности;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изменение целевых показателей в связи с изменением объемов финансирования с оценкой их обоснованности;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- оценка финансовых последствий принимаемых изменений.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При проведении повторной экспертизы во вводной части указывается причина ее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необходимо описать устраненные по рекомендации  нарушения и недостатки.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Все суждения и оценки, отраженные в заключении, должны подтверждаться с указанием структурного раздела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lastRenderedPageBreak/>
        <w:t>В заключении  по итогам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</w:t>
      </w:r>
      <w:proofErr w:type="gramStart"/>
      <w:r w:rsidRPr="008E16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E1657">
        <w:rPr>
          <w:rFonts w:ascii="Times New Roman" w:hAnsi="Times New Roman" w:cs="Times New Roman"/>
          <w:sz w:val="24"/>
          <w:szCs w:val="24"/>
        </w:rPr>
        <w:t>, внесения изменений в проект программы, либо информация об отсутствии замечаний и предложений по итогам экспертизы. Заключение по итогам экспертизы не должно содержать политических оценок проекта муниципальной программы.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Заключение  по итогам экспертизы проекта муниципальной программы подписывается Главой администрации или лицом, его замещающим, а также визируется другими участниками экспертизы. Заключение направляется разработчику. Копия заключения направляется в адрес администрации </w:t>
      </w:r>
      <w:r w:rsidR="0091775A">
        <w:rPr>
          <w:rFonts w:ascii="Times New Roman" w:hAnsi="Times New Roman" w:cs="Times New Roman"/>
          <w:sz w:val="24"/>
          <w:szCs w:val="24"/>
        </w:rPr>
        <w:t>Лобазовского</w:t>
      </w:r>
      <w:r w:rsidR="00522BA4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522BA4" w:rsidRPr="008E1657">
        <w:rPr>
          <w:rFonts w:ascii="Times New Roman" w:hAnsi="Times New Roman" w:cs="Times New Roman"/>
          <w:sz w:val="24"/>
          <w:szCs w:val="24"/>
        </w:rPr>
        <w:t>области</w:t>
      </w:r>
      <w:r w:rsidRPr="008E1657">
        <w:rPr>
          <w:rFonts w:ascii="Times New Roman" w:hAnsi="Times New Roman" w:cs="Times New Roman"/>
          <w:sz w:val="24"/>
          <w:szCs w:val="24"/>
        </w:rPr>
        <w:t>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4.3. Оформление предложений по итогам проведения экспертизы осуществляется в соответствии с локальными актами.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 xml:space="preserve">4.4. Информационное письмо со сведениями о результатах проведенных экспертиз может быть направлено Главе </w:t>
      </w:r>
      <w:r w:rsidR="0091775A">
        <w:rPr>
          <w:rFonts w:ascii="Times New Roman" w:hAnsi="Times New Roman" w:cs="Times New Roman"/>
          <w:sz w:val="24"/>
          <w:szCs w:val="24"/>
        </w:rPr>
        <w:t>Лобазовского</w:t>
      </w:r>
      <w:r w:rsidR="009D1702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</w:t>
      </w:r>
      <w:r w:rsidR="009D1702" w:rsidRPr="008E165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8E1657">
        <w:rPr>
          <w:rFonts w:ascii="Times New Roman" w:hAnsi="Times New Roman" w:cs="Times New Roman"/>
          <w:sz w:val="24"/>
          <w:szCs w:val="24"/>
        </w:rPr>
        <w:t>по инициативе должностного лица или по запросу вышеназванного лица.</w:t>
      </w:r>
    </w:p>
    <w:p w:rsidR="007C1279" w:rsidRPr="008E1657" w:rsidRDefault="007C1279" w:rsidP="007C1279">
      <w:pPr>
        <w:rPr>
          <w:rFonts w:ascii="Times New Roman" w:hAnsi="Times New Roman" w:cs="Times New Roman"/>
          <w:sz w:val="24"/>
          <w:szCs w:val="24"/>
        </w:rPr>
      </w:pPr>
      <w:r w:rsidRPr="008E1657">
        <w:rPr>
          <w:rFonts w:ascii="Times New Roman" w:hAnsi="Times New Roman" w:cs="Times New Roman"/>
          <w:sz w:val="24"/>
          <w:szCs w:val="24"/>
        </w:rPr>
        <w:t>4.5. По результатам экспертиз проектов муниципальных программ сотрудником  подготавливается информация с указанием принятых (не принятых) замеча</w:t>
      </w:r>
      <w:r w:rsidR="009D1702">
        <w:rPr>
          <w:rFonts w:ascii="Times New Roman" w:hAnsi="Times New Roman" w:cs="Times New Roman"/>
          <w:sz w:val="24"/>
          <w:szCs w:val="24"/>
        </w:rPr>
        <w:t>ний и предложений</w:t>
      </w:r>
      <w:r w:rsidRPr="008E1657">
        <w:rPr>
          <w:rFonts w:ascii="Times New Roman" w:hAnsi="Times New Roman" w:cs="Times New Roman"/>
          <w:sz w:val="24"/>
          <w:szCs w:val="24"/>
        </w:rPr>
        <w:t xml:space="preserve">, осуществляется анализ причин не принятых замечаний и предложений. </w:t>
      </w:r>
    </w:p>
    <w:p w:rsidR="00440417" w:rsidRPr="008E1657" w:rsidRDefault="0091775A">
      <w:pPr>
        <w:rPr>
          <w:rFonts w:ascii="Times New Roman" w:hAnsi="Times New Roman" w:cs="Times New Roman"/>
          <w:sz w:val="24"/>
          <w:szCs w:val="24"/>
        </w:rPr>
      </w:pPr>
    </w:p>
    <w:p w:rsidR="002E5EE0" w:rsidRPr="008E1657" w:rsidRDefault="002E5EE0">
      <w:pPr>
        <w:rPr>
          <w:rFonts w:ascii="Times New Roman" w:hAnsi="Times New Roman" w:cs="Times New Roman"/>
          <w:sz w:val="24"/>
          <w:szCs w:val="24"/>
        </w:rPr>
      </w:pPr>
    </w:p>
    <w:sectPr w:rsidR="002E5EE0" w:rsidRPr="008E1657" w:rsidSect="008E1657">
      <w:pgSz w:w="11900" w:h="16800"/>
      <w:pgMar w:top="1134" w:right="800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279"/>
    <w:rsid w:val="001941B4"/>
    <w:rsid w:val="002C0482"/>
    <w:rsid w:val="002E5EE0"/>
    <w:rsid w:val="004F4A2E"/>
    <w:rsid w:val="00522BA4"/>
    <w:rsid w:val="00533B9E"/>
    <w:rsid w:val="007C1279"/>
    <w:rsid w:val="008E1657"/>
    <w:rsid w:val="0091775A"/>
    <w:rsid w:val="00936EC6"/>
    <w:rsid w:val="009D1702"/>
    <w:rsid w:val="00A56DDC"/>
    <w:rsid w:val="00BA1770"/>
    <w:rsid w:val="00DD6B8E"/>
    <w:rsid w:val="00F0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2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uiPriority w:val="99"/>
    <w:qFormat/>
    <w:rsid w:val="007C1279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2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12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7C127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1279"/>
    <w:rPr>
      <w:rFonts w:cs="Times New Roman"/>
      <w:b w:val="0"/>
      <w:color w:val="auto"/>
    </w:rPr>
  </w:style>
  <w:style w:type="paragraph" w:customStyle="1" w:styleId="ConsPlusNormal">
    <w:name w:val="ConsPlusNormal"/>
    <w:uiPriority w:val="99"/>
    <w:rsid w:val="007C1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7C12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justppt">
    <w:name w:val="justppt"/>
    <w:basedOn w:val="a"/>
    <w:uiPriority w:val="99"/>
    <w:rsid w:val="007C12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Strong"/>
    <w:basedOn w:val="a0"/>
    <w:uiPriority w:val="99"/>
    <w:qFormat/>
    <w:rsid w:val="007C1279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1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8E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2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uiPriority w:val="99"/>
    <w:qFormat/>
    <w:rsid w:val="007C1279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2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127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7C127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1279"/>
    <w:rPr>
      <w:rFonts w:cs="Times New Roman"/>
      <w:b w:val="0"/>
      <w:color w:val="auto"/>
    </w:rPr>
  </w:style>
  <w:style w:type="paragraph" w:customStyle="1" w:styleId="ConsPlusNormal">
    <w:name w:val="ConsPlusNormal"/>
    <w:uiPriority w:val="99"/>
    <w:rsid w:val="007C1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7C12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justppt">
    <w:name w:val="justppt"/>
    <w:basedOn w:val="a"/>
    <w:uiPriority w:val="99"/>
    <w:rsid w:val="007C12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6">
    <w:name w:val="Strong"/>
    <w:basedOn w:val="a0"/>
    <w:uiPriority w:val="99"/>
    <w:qFormat/>
    <w:rsid w:val="007C1279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1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lobazovka</cp:lastModifiedBy>
  <cp:revision>11</cp:revision>
  <dcterms:created xsi:type="dcterms:W3CDTF">2017-07-04T09:37:00Z</dcterms:created>
  <dcterms:modified xsi:type="dcterms:W3CDTF">2019-07-03T08:26:00Z</dcterms:modified>
</cp:coreProperties>
</file>