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63" w:rsidRDefault="00B83063" w:rsidP="00B83063">
      <w:pPr>
        <w:ind w:firstLine="68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048B" w:rsidRPr="00F41080" w:rsidRDefault="00E172F9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ЛОБАЗОВСКОГО</w:t>
      </w:r>
      <w:r w:rsidR="001E048B" w:rsidRPr="00F4108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41080" w:rsidRDefault="00FA6F4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</w:t>
      </w:r>
      <w:r w:rsidR="001E048B" w:rsidRPr="00F41080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КУРСКОЙ ОБЛАСТИ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F4108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1E048B" w:rsidRPr="00F41080">
        <w:rPr>
          <w:rFonts w:ascii="Arial" w:hAnsi="Arial" w:cs="Arial"/>
          <w:b/>
          <w:sz w:val="32"/>
          <w:szCs w:val="32"/>
        </w:rPr>
        <w:t>Е</w:t>
      </w:r>
    </w:p>
    <w:p w:rsidR="001E048B" w:rsidRPr="00F41080" w:rsidRDefault="001E048B" w:rsidP="00B83063">
      <w:pPr>
        <w:ind w:firstLine="680"/>
        <w:jc w:val="both"/>
        <w:rPr>
          <w:rFonts w:ascii="Arial" w:hAnsi="Arial" w:cs="Arial"/>
          <w:b/>
          <w:sz w:val="32"/>
          <w:szCs w:val="32"/>
        </w:rPr>
      </w:pPr>
    </w:p>
    <w:p w:rsidR="001E048B" w:rsidRPr="00F41080" w:rsidRDefault="001E048B" w:rsidP="00B83063">
      <w:pPr>
        <w:ind w:firstLine="68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F41080" w:rsidRDefault="009F795E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предоставления  муниципальных гарантий </w:t>
      </w:r>
      <w:r w:rsidR="00C03D20" w:rsidRPr="00F41080">
        <w:rPr>
          <w:rFonts w:ascii="Arial" w:hAnsi="Arial" w:cs="Arial"/>
          <w:b/>
          <w:sz w:val="32"/>
          <w:szCs w:val="32"/>
        </w:rPr>
        <w:t>счет средств местного бюджета муниципального образования «</w:t>
      </w:r>
      <w:r w:rsidR="00E172F9">
        <w:rPr>
          <w:rFonts w:ascii="Arial" w:hAnsi="Arial" w:cs="Arial"/>
          <w:b/>
          <w:sz w:val="32"/>
          <w:szCs w:val="32"/>
        </w:rPr>
        <w:t>Лобазовский</w:t>
      </w:r>
      <w:r w:rsidR="00C03D20">
        <w:rPr>
          <w:rFonts w:ascii="Arial" w:hAnsi="Arial" w:cs="Arial"/>
          <w:b/>
          <w:sz w:val="32"/>
          <w:szCs w:val="32"/>
        </w:rPr>
        <w:t xml:space="preserve"> сельсовет»</w:t>
      </w:r>
      <w:r w:rsidR="00C03D20" w:rsidRPr="00F41080">
        <w:rPr>
          <w:rFonts w:ascii="Arial" w:hAnsi="Arial" w:cs="Arial"/>
          <w:b/>
          <w:sz w:val="32"/>
          <w:szCs w:val="32"/>
        </w:rPr>
        <w:t xml:space="preserve"> </w:t>
      </w:r>
      <w:r w:rsidR="00C03D20">
        <w:rPr>
          <w:rFonts w:ascii="Arial" w:hAnsi="Arial" w:cs="Arial"/>
          <w:b/>
          <w:sz w:val="32"/>
          <w:szCs w:val="32"/>
        </w:rPr>
        <w:t>Октябрьского</w:t>
      </w:r>
      <w:r w:rsidR="00C03D20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BF02B8">
        <w:rPr>
          <w:rFonts w:ascii="Arial" w:hAnsi="Arial" w:cs="Arial"/>
          <w:b/>
          <w:sz w:val="32"/>
          <w:szCs w:val="32"/>
        </w:rPr>
        <w:t xml:space="preserve"> 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F41080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</w:t>
      </w:r>
      <w:r w:rsidR="00983931"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41080">
        <w:rPr>
          <w:b w:val="0"/>
          <w:color w:val="auto"/>
        </w:rPr>
        <w:t>«</w:t>
      </w:r>
      <w:r w:rsidR="00E172F9">
        <w:rPr>
          <w:b w:val="0"/>
          <w:color w:val="auto"/>
        </w:rPr>
        <w:t>Лобазовский</w:t>
      </w:r>
      <w:r w:rsidR="00983931" w:rsidRPr="00F41080">
        <w:rPr>
          <w:b w:val="0"/>
          <w:color w:val="auto"/>
        </w:rPr>
        <w:t xml:space="preserve"> сельсовет»</w:t>
      </w:r>
      <w:r w:rsidR="00983931" w:rsidRPr="00F41080">
        <w:rPr>
          <w:rFonts w:eastAsia="Times New Roman CYR"/>
          <w:b w:val="0"/>
          <w:color w:val="auto"/>
        </w:rPr>
        <w:t xml:space="preserve"> </w:t>
      </w:r>
      <w:r w:rsidR="00FA6F40">
        <w:rPr>
          <w:rFonts w:eastAsia="Times New Roman CYR"/>
          <w:b w:val="0"/>
          <w:color w:val="auto"/>
        </w:rPr>
        <w:t>Октябрьского</w:t>
      </w:r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F41080">
        <w:rPr>
          <w:rFonts w:eastAsia="Times New Roman CYR"/>
          <w:b w:val="0"/>
          <w:color w:val="auto"/>
        </w:rPr>
        <w:t xml:space="preserve">тов </w:t>
      </w:r>
      <w:r w:rsidR="00E172F9">
        <w:rPr>
          <w:rFonts w:eastAsia="Times New Roman CYR"/>
          <w:b w:val="0"/>
          <w:color w:val="auto"/>
        </w:rPr>
        <w:t>Лобазовского</w:t>
      </w:r>
      <w:r w:rsidR="00983931" w:rsidRPr="00F41080">
        <w:rPr>
          <w:rFonts w:eastAsia="Times New Roman CYR"/>
          <w:b w:val="0"/>
          <w:color w:val="auto"/>
        </w:rPr>
        <w:t xml:space="preserve"> сельсовет</w:t>
      </w:r>
      <w:r w:rsidR="00DB024E" w:rsidRPr="00F41080">
        <w:rPr>
          <w:rFonts w:eastAsia="Times New Roman CYR"/>
          <w:b w:val="0"/>
          <w:color w:val="auto"/>
        </w:rPr>
        <w:t xml:space="preserve">а </w:t>
      </w:r>
      <w:r w:rsidR="00FA6F40">
        <w:rPr>
          <w:rFonts w:eastAsia="Times New Roman CYR"/>
          <w:b w:val="0"/>
          <w:color w:val="auto"/>
        </w:rPr>
        <w:t>Октябрьского</w:t>
      </w:r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F41080">
        <w:rPr>
          <w:rFonts w:eastAsia="Times New Roman CYR"/>
          <w:b w:val="0"/>
          <w:color w:val="auto"/>
        </w:rPr>
        <w:t xml:space="preserve"> </w:t>
      </w:r>
      <w:r w:rsidR="00B83063">
        <w:rPr>
          <w:b w:val="0"/>
        </w:rPr>
        <w:t>РЕШИЛО</w:t>
      </w:r>
      <w:r w:rsidR="00983931" w:rsidRPr="00F41080">
        <w:t>:</w:t>
      </w:r>
    </w:p>
    <w:p w:rsidR="00983931" w:rsidRPr="00F41080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B83063" w:rsidRDefault="00983931" w:rsidP="00B83063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r w:rsidR="00E172F9">
        <w:rPr>
          <w:rFonts w:ascii="Arial" w:hAnsi="Arial" w:cs="Arial"/>
          <w:szCs w:val="24"/>
        </w:rPr>
        <w:t>Лобазовский</w:t>
      </w:r>
      <w:r w:rsidRPr="00F41080">
        <w:rPr>
          <w:rFonts w:ascii="Arial" w:hAnsi="Arial" w:cs="Arial"/>
          <w:szCs w:val="24"/>
        </w:rPr>
        <w:t xml:space="preserve"> сельсовет» 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F41080">
        <w:rPr>
          <w:rFonts w:ascii="Arial" w:hAnsi="Arial" w:cs="Arial"/>
          <w:szCs w:val="24"/>
        </w:rPr>
        <w:t xml:space="preserve"> (прилага</w:t>
      </w:r>
      <w:r w:rsidR="00B83063">
        <w:rPr>
          <w:rFonts w:ascii="Arial" w:hAnsi="Arial" w:cs="Arial"/>
          <w:szCs w:val="24"/>
        </w:rPr>
        <w:t>ется).</w:t>
      </w:r>
    </w:p>
    <w:p w:rsidR="00B83063" w:rsidRPr="00B83063" w:rsidRDefault="00B83063" w:rsidP="00B83063">
      <w:pPr>
        <w:pStyle w:val="ad"/>
        <w:numPr>
          <w:ilvl w:val="0"/>
          <w:numId w:val="3"/>
        </w:numPr>
        <w:ind w:left="0" w:firstLine="567"/>
        <w:jc w:val="both"/>
        <w:rPr>
          <w:rFonts w:ascii="Arial" w:hAnsi="Arial" w:cs="Arial"/>
          <w:szCs w:val="24"/>
        </w:rPr>
      </w:pPr>
      <w:r w:rsidRPr="00B83063">
        <w:rPr>
          <w:rFonts w:ascii="Arial" w:hAnsi="Arial" w:cs="Arial"/>
          <w:szCs w:val="24"/>
        </w:rPr>
        <w:t xml:space="preserve">Признать утратившим силу решение Собрания депутатов </w:t>
      </w:r>
      <w:r w:rsidR="00E172F9">
        <w:rPr>
          <w:rFonts w:ascii="Arial" w:hAnsi="Arial" w:cs="Arial"/>
          <w:szCs w:val="24"/>
        </w:rPr>
        <w:t>Лобазовского</w:t>
      </w:r>
      <w:r w:rsidR="0091408E">
        <w:rPr>
          <w:rFonts w:ascii="Arial" w:hAnsi="Arial" w:cs="Arial"/>
          <w:szCs w:val="24"/>
        </w:rPr>
        <w:t xml:space="preserve"> сельсовета от </w:t>
      </w:r>
      <w:r w:rsidR="00E172F9">
        <w:rPr>
          <w:rFonts w:ascii="Arial" w:hAnsi="Arial" w:cs="Arial"/>
          <w:szCs w:val="24"/>
        </w:rPr>
        <w:t>11</w:t>
      </w:r>
      <w:r w:rsidRPr="00B83063">
        <w:rPr>
          <w:rFonts w:ascii="Arial" w:hAnsi="Arial" w:cs="Arial"/>
          <w:szCs w:val="24"/>
        </w:rPr>
        <w:t>.0</w:t>
      </w:r>
      <w:r w:rsidR="00E172F9">
        <w:rPr>
          <w:rFonts w:ascii="Arial" w:hAnsi="Arial" w:cs="Arial"/>
          <w:szCs w:val="24"/>
        </w:rPr>
        <w:t>9</w:t>
      </w:r>
      <w:r w:rsidRPr="00B83063">
        <w:rPr>
          <w:rFonts w:ascii="Arial" w:hAnsi="Arial" w:cs="Arial"/>
          <w:szCs w:val="24"/>
        </w:rPr>
        <w:t xml:space="preserve">.2018 года № </w:t>
      </w:r>
      <w:r w:rsidR="00E172F9">
        <w:rPr>
          <w:rFonts w:ascii="Arial" w:hAnsi="Arial" w:cs="Arial"/>
          <w:szCs w:val="24"/>
        </w:rPr>
        <w:t>83</w:t>
      </w:r>
      <w:r w:rsidRPr="00B83063">
        <w:rPr>
          <w:rFonts w:ascii="Arial" w:hAnsi="Arial" w:cs="Arial"/>
          <w:szCs w:val="24"/>
        </w:rPr>
        <w:t xml:space="preserve"> «</w:t>
      </w:r>
      <w:r w:rsidRPr="00B83063">
        <w:rPr>
          <w:rFonts w:ascii="Arial" w:eastAsia="Calibri" w:hAnsi="Arial" w:cs="Arial"/>
          <w:szCs w:val="24"/>
        </w:rPr>
        <w:t>Об утверждении Порядка предоставления</w:t>
      </w:r>
      <w:r>
        <w:rPr>
          <w:rFonts w:ascii="Arial" w:hAnsi="Arial" w:cs="Arial"/>
          <w:szCs w:val="24"/>
        </w:rPr>
        <w:t xml:space="preserve"> </w:t>
      </w:r>
      <w:r w:rsidRPr="00B83063">
        <w:rPr>
          <w:rFonts w:ascii="Arial" w:eastAsia="Calibri" w:hAnsi="Arial" w:cs="Arial"/>
          <w:szCs w:val="24"/>
        </w:rPr>
        <w:t xml:space="preserve">муниципальных гарантий за счет средств местного бюджета </w:t>
      </w:r>
      <w:r w:rsidR="00E172F9">
        <w:rPr>
          <w:rFonts w:ascii="Arial" w:eastAsia="Calibri" w:hAnsi="Arial" w:cs="Arial"/>
          <w:szCs w:val="24"/>
        </w:rPr>
        <w:t>Лобазовского</w:t>
      </w:r>
      <w:r w:rsidRPr="00B83063">
        <w:rPr>
          <w:rFonts w:ascii="Arial" w:eastAsia="Calibri" w:hAnsi="Arial" w:cs="Arial"/>
          <w:szCs w:val="24"/>
        </w:rPr>
        <w:t xml:space="preserve"> сельсовета</w:t>
      </w:r>
      <w:r w:rsidRPr="00B83063">
        <w:rPr>
          <w:rFonts w:ascii="Arial" w:hAnsi="Arial" w:cs="Arial"/>
          <w:szCs w:val="24"/>
        </w:rPr>
        <w:t xml:space="preserve"> </w:t>
      </w:r>
      <w:r w:rsidRPr="00B83063">
        <w:rPr>
          <w:rFonts w:ascii="Arial" w:eastAsia="Calibri" w:hAnsi="Arial" w:cs="Arial"/>
          <w:szCs w:val="24"/>
        </w:rPr>
        <w:t>Октябрьского района Курской области</w:t>
      </w:r>
      <w:r w:rsidRPr="00B83063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:rsidR="00983931" w:rsidRPr="00C74417" w:rsidRDefault="00983931" w:rsidP="00C74417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C74417">
        <w:rPr>
          <w:rFonts w:ascii="Arial" w:hAnsi="Arial" w:cs="Arial"/>
        </w:rPr>
        <w:t>Разместить</w:t>
      </w:r>
      <w:proofErr w:type="gramEnd"/>
      <w:r w:rsidRPr="00C74417">
        <w:rPr>
          <w:rFonts w:ascii="Arial" w:hAnsi="Arial" w:cs="Arial"/>
        </w:rPr>
        <w:t xml:space="preserve"> настоящее решение на </w:t>
      </w:r>
      <w:r w:rsidRPr="00C74417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r w:rsidR="00E172F9">
        <w:rPr>
          <w:rFonts w:ascii="Arial" w:hAnsi="Arial" w:cs="Arial"/>
          <w:color w:val="000000" w:themeColor="text1"/>
        </w:rPr>
        <w:t>Лобазовский</w:t>
      </w:r>
      <w:r w:rsidRPr="00C74417">
        <w:rPr>
          <w:rFonts w:ascii="Arial" w:hAnsi="Arial" w:cs="Arial"/>
          <w:color w:val="000000" w:themeColor="text1"/>
        </w:rPr>
        <w:t xml:space="preserve"> сельсовет»  </w:t>
      </w:r>
      <w:r w:rsidR="00FA6F40" w:rsidRPr="00C74417">
        <w:rPr>
          <w:rFonts w:ascii="Arial" w:hAnsi="Arial" w:cs="Arial"/>
          <w:color w:val="000000" w:themeColor="text1"/>
        </w:rPr>
        <w:t>Октябрьского</w:t>
      </w:r>
      <w:r w:rsidRPr="00C74417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983931" w:rsidRPr="00F41080" w:rsidRDefault="00C74417" w:rsidP="00C74417">
      <w:pPr>
        <w:widowControl w:val="0"/>
        <w:tabs>
          <w:tab w:val="left" w:pos="1035"/>
        </w:tabs>
        <w:suppressAutoHyphens/>
        <w:autoSpaceDE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83931"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</w:t>
      </w:r>
      <w:r>
        <w:rPr>
          <w:rFonts w:ascii="Arial" w:hAnsi="Arial" w:cs="Arial"/>
          <w:szCs w:val="24"/>
        </w:rPr>
        <w:t>.</w:t>
      </w:r>
    </w:p>
    <w:p w:rsidR="00983931" w:rsidRPr="00F41080" w:rsidRDefault="00C74417" w:rsidP="00C74417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83931" w:rsidRPr="00F41080">
        <w:rPr>
          <w:rFonts w:ascii="Arial" w:hAnsi="Arial" w:cs="Arial"/>
          <w:szCs w:val="24"/>
        </w:rPr>
        <w:t xml:space="preserve">. </w:t>
      </w:r>
      <w:proofErr w:type="gramStart"/>
      <w:r w:rsidR="00983931" w:rsidRPr="00F41080">
        <w:rPr>
          <w:rFonts w:ascii="Arial" w:hAnsi="Arial" w:cs="Arial"/>
          <w:szCs w:val="24"/>
        </w:rPr>
        <w:t>Контроль за</w:t>
      </w:r>
      <w:proofErr w:type="gramEnd"/>
      <w:r w:rsidR="00983931" w:rsidRPr="00F41080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83931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B83063" w:rsidRDefault="00B83063" w:rsidP="00F41080">
      <w:pPr>
        <w:ind w:firstLine="680"/>
        <w:jc w:val="left"/>
        <w:rPr>
          <w:rFonts w:ascii="Arial" w:hAnsi="Arial" w:cs="Arial"/>
          <w:szCs w:val="24"/>
        </w:rPr>
      </w:pPr>
    </w:p>
    <w:p w:rsidR="00B83063" w:rsidRPr="00F41080" w:rsidRDefault="00B83063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</w:p>
    <w:p w:rsidR="00983931" w:rsidRPr="00F41080" w:rsidRDefault="00E172F9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Лобазовского</w:t>
      </w:r>
      <w:r w:rsidR="00983931" w:rsidRPr="00F41080">
        <w:rPr>
          <w:rFonts w:ascii="Arial" w:hAnsi="Arial" w:cs="Arial"/>
          <w:szCs w:val="24"/>
        </w:rPr>
        <w:t xml:space="preserve"> сельсовета                        </w:t>
      </w:r>
      <w:r w:rsidR="00055E86">
        <w:rPr>
          <w:rFonts w:ascii="Arial" w:hAnsi="Arial" w:cs="Arial"/>
          <w:szCs w:val="24"/>
        </w:rPr>
        <w:t xml:space="preserve">             </w:t>
      </w:r>
    </w:p>
    <w:p w:rsidR="00983931" w:rsidRPr="00F41080" w:rsidRDefault="00FA6F40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="00983931" w:rsidRPr="00F41080">
        <w:rPr>
          <w:rFonts w:ascii="Arial" w:hAnsi="Arial" w:cs="Arial"/>
          <w:szCs w:val="24"/>
        </w:rPr>
        <w:t xml:space="preserve"> района</w:t>
      </w:r>
      <w:r>
        <w:rPr>
          <w:rFonts w:ascii="Arial" w:hAnsi="Arial" w:cs="Arial"/>
          <w:szCs w:val="24"/>
        </w:rPr>
        <w:t xml:space="preserve">                                                          </w:t>
      </w:r>
      <w:r w:rsidR="00E172F9">
        <w:rPr>
          <w:rFonts w:ascii="Arial" w:hAnsi="Arial" w:cs="Arial"/>
          <w:szCs w:val="24"/>
        </w:rPr>
        <w:t>Л.П.Сапрыкина</w:t>
      </w:r>
      <w:r>
        <w:rPr>
          <w:rFonts w:ascii="Arial" w:hAnsi="Arial" w:cs="Arial"/>
          <w:szCs w:val="24"/>
        </w:rPr>
        <w:t>.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055E86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Главы</w:t>
      </w:r>
      <w:r w:rsidR="00983931" w:rsidRPr="00F41080">
        <w:rPr>
          <w:rFonts w:ascii="Arial" w:hAnsi="Arial" w:cs="Arial"/>
          <w:szCs w:val="24"/>
        </w:rPr>
        <w:t xml:space="preserve"> </w:t>
      </w:r>
      <w:r w:rsidR="00E172F9">
        <w:rPr>
          <w:rFonts w:ascii="Arial" w:hAnsi="Arial" w:cs="Arial"/>
          <w:szCs w:val="24"/>
        </w:rPr>
        <w:t>Лобазовского</w:t>
      </w:r>
      <w:r w:rsidR="00983931" w:rsidRPr="00F41080">
        <w:rPr>
          <w:rFonts w:ascii="Arial" w:hAnsi="Arial" w:cs="Arial"/>
          <w:szCs w:val="24"/>
        </w:rPr>
        <w:t xml:space="preserve"> сельсовета              </w:t>
      </w:r>
      <w:r>
        <w:rPr>
          <w:rFonts w:ascii="Arial" w:hAnsi="Arial" w:cs="Arial"/>
          <w:szCs w:val="24"/>
        </w:rPr>
        <w:t xml:space="preserve">           </w:t>
      </w:r>
    </w:p>
    <w:p w:rsidR="00F41080" w:rsidRDefault="00FA6F40" w:rsidP="0091408E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="00DB024E" w:rsidRPr="00F41080">
        <w:rPr>
          <w:rFonts w:ascii="Arial" w:hAnsi="Arial" w:cs="Arial"/>
          <w:szCs w:val="24"/>
        </w:rPr>
        <w:t xml:space="preserve"> района</w:t>
      </w:r>
      <w:r>
        <w:rPr>
          <w:rFonts w:ascii="Arial" w:hAnsi="Arial" w:cs="Arial"/>
          <w:szCs w:val="24"/>
        </w:rPr>
        <w:t xml:space="preserve">                                                         </w:t>
      </w:r>
      <w:r w:rsidR="00E172F9">
        <w:rPr>
          <w:rFonts w:ascii="Arial" w:hAnsi="Arial" w:cs="Arial"/>
          <w:szCs w:val="24"/>
        </w:rPr>
        <w:t>В.Н.Гребенникова</w:t>
      </w:r>
    </w:p>
    <w:p w:rsidR="00E172F9" w:rsidRDefault="00E172F9" w:rsidP="0091408E">
      <w:pPr>
        <w:ind w:firstLine="680"/>
        <w:jc w:val="left"/>
        <w:rPr>
          <w:rFonts w:ascii="Arial" w:hAnsi="Arial" w:cs="Arial"/>
          <w:szCs w:val="24"/>
        </w:rPr>
      </w:pPr>
    </w:p>
    <w:p w:rsidR="0091408E" w:rsidRDefault="0091408E" w:rsidP="0091408E">
      <w:pPr>
        <w:ind w:firstLine="680"/>
        <w:jc w:val="left"/>
        <w:rPr>
          <w:rFonts w:ascii="Arial" w:hAnsi="Arial" w:cs="Arial"/>
          <w:szCs w:val="24"/>
        </w:rPr>
      </w:pPr>
    </w:p>
    <w:p w:rsidR="00DF62B2" w:rsidRDefault="00DF62B2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lastRenderedPageBreak/>
        <w:t xml:space="preserve">Приложение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83931" w:rsidRPr="00F41080" w:rsidRDefault="00E172F9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Лобазовского</w:t>
      </w:r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983931" w:rsidRPr="00F41080" w:rsidRDefault="00FA6F40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="00983931" w:rsidRPr="00F41080">
        <w:rPr>
          <w:rFonts w:ascii="Arial" w:hAnsi="Arial" w:cs="Arial"/>
          <w:szCs w:val="24"/>
        </w:rPr>
        <w:t xml:space="preserve"> района </w:t>
      </w:r>
    </w:p>
    <w:p w:rsidR="00983931" w:rsidRPr="00F41080" w:rsidRDefault="00DF62B2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055E86">
      <w:pPr>
        <w:jc w:val="both"/>
        <w:rPr>
          <w:rFonts w:ascii="Arial" w:hAnsi="Arial" w:cs="Arial"/>
          <w:szCs w:val="24"/>
        </w:rPr>
      </w:pPr>
    </w:p>
    <w:p w:rsidR="00983931" w:rsidRPr="00F4108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</w:r>
      <w:r w:rsidR="00983931"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гарантий </w:t>
      </w:r>
      <w:r w:rsidR="00BF02B8">
        <w:rPr>
          <w:rFonts w:ascii="Arial" w:hAnsi="Arial" w:cs="Arial"/>
          <w:b/>
          <w:bCs/>
          <w:sz w:val="32"/>
          <w:szCs w:val="32"/>
        </w:rPr>
        <w:t xml:space="preserve"> </w:t>
      </w:r>
      <w:r w:rsidR="00983931" w:rsidRPr="00F41080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r w:rsidR="00E172F9">
        <w:rPr>
          <w:rFonts w:ascii="Arial" w:hAnsi="Arial" w:cs="Arial"/>
          <w:b/>
          <w:sz w:val="32"/>
          <w:szCs w:val="32"/>
        </w:rPr>
        <w:t>Лобазовский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</w:t>
      </w:r>
      <w:r w:rsidR="00FA6F40">
        <w:rPr>
          <w:rFonts w:ascii="Arial" w:hAnsi="Arial" w:cs="Arial"/>
          <w:b/>
          <w:sz w:val="32"/>
          <w:szCs w:val="32"/>
        </w:rPr>
        <w:t>Октябрьского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r w:rsidR="00E172F9">
        <w:rPr>
          <w:rFonts w:ascii="Arial" w:hAnsi="Arial" w:cs="Arial"/>
          <w:szCs w:val="24"/>
        </w:rPr>
        <w:t>Лобазовский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r w:rsidR="00E172F9">
        <w:rPr>
          <w:rFonts w:ascii="Arial" w:hAnsi="Arial" w:cs="Arial"/>
          <w:szCs w:val="24"/>
        </w:rPr>
        <w:t>Лобазовский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«</w:t>
      </w:r>
      <w:r w:rsidR="00E172F9">
        <w:rPr>
          <w:rFonts w:ascii="Arial" w:hAnsi="Arial" w:cs="Arial"/>
          <w:szCs w:val="24"/>
        </w:rPr>
        <w:t>Лобазовский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r w:rsidR="00E172F9">
        <w:rPr>
          <w:rFonts w:ascii="Arial" w:hAnsi="Arial" w:cs="Arial"/>
          <w:szCs w:val="24"/>
        </w:rPr>
        <w:t>Лобазовского</w:t>
      </w:r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r w:rsidR="00E172F9">
        <w:rPr>
          <w:rFonts w:ascii="Arial" w:hAnsi="Arial" w:cs="Arial"/>
          <w:szCs w:val="24"/>
        </w:rPr>
        <w:t>Лобазовского</w:t>
      </w:r>
      <w:r w:rsidR="000A67A6" w:rsidRPr="00F41080">
        <w:rPr>
          <w:rFonts w:ascii="Arial" w:hAnsi="Arial" w:cs="Arial"/>
          <w:szCs w:val="24"/>
        </w:rPr>
        <w:t xml:space="preserve"> сельсовета 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</w:t>
      </w:r>
      <w:r w:rsidR="00E172F9">
        <w:rPr>
          <w:rFonts w:ascii="Arial" w:hAnsi="Arial" w:cs="Arial"/>
          <w:szCs w:val="24"/>
        </w:rPr>
        <w:t>Лобазовского</w:t>
      </w:r>
      <w:r w:rsidRPr="00F41080">
        <w:rPr>
          <w:rFonts w:ascii="Arial" w:hAnsi="Arial" w:cs="Arial"/>
          <w:szCs w:val="24"/>
        </w:rPr>
        <w:t xml:space="preserve"> сельсовет</w:t>
      </w:r>
      <w:r w:rsidR="00681458">
        <w:rPr>
          <w:rFonts w:ascii="Arial" w:hAnsi="Arial" w:cs="Arial"/>
          <w:szCs w:val="24"/>
        </w:rPr>
        <w:t>а</w:t>
      </w:r>
      <w:r w:rsidRPr="00F41080">
        <w:rPr>
          <w:rFonts w:ascii="Arial" w:hAnsi="Arial" w:cs="Arial"/>
          <w:szCs w:val="24"/>
        </w:rPr>
        <w:t>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F41080">
        <w:rPr>
          <w:rFonts w:ascii="Arial" w:hAnsi="Arial" w:cs="Arial"/>
          <w:szCs w:val="24"/>
        </w:rPr>
        <w:t>дств дл</w:t>
      </w:r>
      <w:proofErr w:type="gramEnd"/>
      <w:r w:rsidRPr="00F41080"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</w:t>
      </w:r>
      <w:proofErr w:type="gramStart"/>
      <w:r w:rsidRPr="00F41080">
        <w:rPr>
          <w:rFonts w:ascii="Arial" w:hAnsi="Arial" w:cs="Arial"/>
          <w:szCs w:val="24"/>
        </w:rPr>
        <w:t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администрацией </w:t>
      </w:r>
      <w:r>
        <w:rPr>
          <w:rFonts w:ascii="Arial" w:hAnsi="Arial" w:cs="Arial"/>
          <w:szCs w:val="24"/>
        </w:rPr>
        <w:t xml:space="preserve">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</w:t>
      </w:r>
      <w:proofErr w:type="gramStart"/>
      <w:r w:rsidR="00CD123A"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</w:t>
      </w:r>
      <w:r w:rsidR="00CD123A" w:rsidRPr="00CD123A">
        <w:rPr>
          <w:rFonts w:ascii="Arial" w:hAnsi="Arial" w:cs="Arial"/>
          <w:szCs w:val="24"/>
        </w:rPr>
        <w:lastRenderedPageBreak/>
        <w:t xml:space="preserve">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917CBF">
        <w:rPr>
          <w:rFonts w:ascii="Arial" w:hAnsi="Arial" w:cs="Arial"/>
          <w:szCs w:val="24"/>
        </w:rPr>
        <w:t>необоснованными</w:t>
      </w:r>
      <w:proofErr w:type="gramEnd"/>
      <w:r w:rsidR="00917CBF" w:rsidRPr="00917CBF">
        <w:rPr>
          <w:rFonts w:ascii="Arial" w:hAnsi="Arial" w:cs="Arial"/>
          <w:szCs w:val="24"/>
        </w:rPr>
        <w:t xml:space="preserve"> и (или) не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</w:t>
      </w:r>
      <w:r w:rsidR="00917CBF" w:rsidRPr="00917CBF">
        <w:rPr>
          <w:rFonts w:ascii="Arial" w:hAnsi="Arial" w:cs="Arial"/>
          <w:szCs w:val="24"/>
        </w:rPr>
        <w:lastRenderedPageBreak/>
        <w:t>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Предусмотренное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17CBF">
        <w:rPr>
          <w:rFonts w:ascii="Arial" w:hAnsi="Arial" w:cs="Arial"/>
          <w:szCs w:val="24"/>
        </w:rPr>
        <w:t>ств пр</w:t>
      </w:r>
      <w:proofErr w:type="gramEnd"/>
      <w:r w:rsidR="00917CBF"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917CBF">
        <w:rPr>
          <w:rFonts w:ascii="Arial" w:hAnsi="Arial" w:cs="Arial"/>
          <w:szCs w:val="24"/>
        </w:rPr>
        <w:t>дств кр</w:t>
      </w:r>
      <w:proofErr w:type="gramEnd"/>
      <w:r w:rsidR="00917CBF" w:rsidRPr="00917CBF">
        <w:rPr>
          <w:rFonts w:ascii="Arial" w:hAnsi="Arial" w:cs="Arial"/>
          <w:szCs w:val="24"/>
        </w:rPr>
        <w:t xml:space="preserve">едита (займа), обеспеченного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1.33.</w:t>
      </w:r>
      <w:r w:rsidRPr="00327CFE">
        <w:t xml:space="preserve"> 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</w:t>
      </w:r>
      <w:r w:rsidR="00BB672D">
        <w:rPr>
          <w:rFonts w:ascii="Arial" w:hAnsi="Arial" w:cs="Arial"/>
          <w:szCs w:val="24"/>
        </w:rPr>
        <w:lastRenderedPageBreak/>
        <w:t>муниципальным образованием «</w:t>
      </w:r>
      <w:r w:rsidR="00E172F9">
        <w:rPr>
          <w:rFonts w:ascii="Arial" w:hAnsi="Arial" w:cs="Arial"/>
          <w:szCs w:val="24"/>
        </w:rPr>
        <w:t>Лобазовский</w:t>
      </w:r>
      <w:r w:rsidR="00BB672D">
        <w:rPr>
          <w:rFonts w:ascii="Arial" w:hAnsi="Arial" w:cs="Arial"/>
          <w:szCs w:val="24"/>
        </w:rPr>
        <w:t xml:space="preserve"> сельсовет» </w:t>
      </w:r>
      <w:r w:rsidR="00FA6F40">
        <w:rPr>
          <w:rFonts w:ascii="Arial" w:hAnsi="Arial" w:cs="Arial"/>
          <w:szCs w:val="24"/>
        </w:rPr>
        <w:t>Октябрьского</w:t>
      </w:r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327CFE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681458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решения </w:t>
      </w:r>
      <w:r>
        <w:rPr>
          <w:rFonts w:ascii="Arial" w:hAnsi="Arial" w:cs="Arial"/>
          <w:szCs w:val="24"/>
        </w:rPr>
        <w:t xml:space="preserve">Собрания депутатов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r w:rsidR="00E172F9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 xml:space="preserve">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EA42B1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A70422"/>
    <w:multiLevelType w:val="hybridMultilevel"/>
    <w:tmpl w:val="51E88C10"/>
    <w:lvl w:ilvl="0" w:tplc="5AD8AAB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A385003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048B"/>
    <w:rsid w:val="00001185"/>
    <w:rsid w:val="00055E86"/>
    <w:rsid w:val="000A67A6"/>
    <w:rsid w:val="001933D1"/>
    <w:rsid w:val="001E048B"/>
    <w:rsid w:val="00257788"/>
    <w:rsid w:val="002652B0"/>
    <w:rsid w:val="00277BE8"/>
    <w:rsid w:val="003139FC"/>
    <w:rsid w:val="00327CFE"/>
    <w:rsid w:val="00353203"/>
    <w:rsid w:val="003A4D99"/>
    <w:rsid w:val="003B2751"/>
    <w:rsid w:val="004302B1"/>
    <w:rsid w:val="00443AFC"/>
    <w:rsid w:val="004C38CF"/>
    <w:rsid w:val="00573E13"/>
    <w:rsid w:val="00681458"/>
    <w:rsid w:val="007040CA"/>
    <w:rsid w:val="0075413D"/>
    <w:rsid w:val="0091408E"/>
    <w:rsid w:val="00917CBF"/>
    <w:rsid w:val="00983931"/>
    <w:rsid w:val="009F795E"/>
    <w:rsid w:val="00A76822"/>
    <w:rsid w:val="00AF20F7"/>
    <w:rsid w:val="00B83063"/>
    <w:rsid w:val="00BB672D"/>
    <w:rsid w:val="00BC4185"/>
    <w:rsid w:val="00BF02B8"/>
    <w:rsid w:val="00C03D20"/>
    <w:rsid w:val="00C74417"/>
    <w:rsid w:val="00CD123A"/>
    <w:rsid w:val="00DB024E"/>
    <w:rsid w:val="00DC17B2"/>
    <w:rsid w:val="00DF62B2"/>
    <w:rsid w:val="00DF6800"/>
    <w:rsid w:val="00E172F9"/>
    <w:rsid w:val="00E424E4"/>
    <w:rsid w:val="00E60DE8"/>
    <w:rsid w:val="00EA42B1"/>
    <w:rsid w:val="00EA5CAF"/>
    <w:rsid w:val="00EF1B07"/>
    <w:rsid w:val="00F41080"/>
    <w:rsid w:val="00F718DC"/>
    <w:rsid w:val="00FA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lobazovka</cp:lastModifiedBy>
  <cp:revision>4</cp:revision>
  <cp:lastPrinted>2018-07-26T07:08:00Z</cp:lastPrinted>
  <dcterms:created xsi:type="dcterms:W3CDTF">2020-04-27T07:57:00Z</dcterms:created>
  <dcterms:modified xsi:type="dcterms:W3CDTF">2020-04-30T07:03:00Z</dcterms:modified>
</cp:coreProperties>
</file>